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bCs/>
          <w:sz w:val="32"/>
        </w:rPr>
      </w:pPr>
      <w:r>
        <w:rPr>
          <w:rFonts w:ascii="Times New Roman" w:hAnsi="Times New Roman" w:eastAsia="黑体"/>
          <w:bCs/>
          <w:sz w:val="32"/>
        </w:rPr>
        <w:t>附件2</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2023年乡村建设评价指标体系</w:t>
      </w:r>
    </w:p>
    <w:tbl>
      <w:tblPr>
        <w:tblStyle w:val="4"/>
        <w:tblW w:w="91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60"/>
        <w:gridCol w:w="540"/>
        <w:gridCol w:w="2335"/>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43" w:type="dxa"/>
            <w:noWrap w:val="0"/>
            <w:vAlign w:val="top"/>
          </w:tcPr>
          <w:p>
            <w:pPr>
              <w:spacing w:line="0" w:lineRule="atLeast"/>
              <w:jc w:val="center"/>
              <w:rPr>
                <w:rFonts w:ascii="黑体" w:hAnsi="黑体" w:eastAsia="黑体"/>
                <w:sz w:val="30"/>
                <w:szCs w:val="30"/>
              </w:rPr>
            </w:pPr>
            <w:r>
              <w:rPr>
                <w:rFonts w:hint="eastAsia" w:ascii="黑体" w:hAnsi="黑体" w:eastAsia="黑体"/>
                <w:sz w:val="30"/>
                <w:szCs w:val="30"/>
              </w:rPr>
              <w:t>核心目标</w:t>
            </w:r>
          </w:p>
        </w:tc>
        <w:tc>
          <w:tcPr>
            <w:tcW w:w="960" w:type="dxa"/>
            <w:noWrap w:val="0"/>
            <w:vAlign w:val="top"/>
          </w:tcPr>
          <w:p>
            <w:pPr>
              <w:spacing w:line="0" w:lineRule="atLeast"/>
              <w:jc w:val="center"/>
              <w:rPr>
                <w:rFonts w:ascii="黑体" w:hAnsi="黑体" w:eastAsia="黑体"/>
                <w:sz w:val="30"/>
                <w:szCs w:val="30"/>
              </w:rPr>
            </w:pPr>
            <w:r>
              <w:rPr>
                <w:rFonts w:hint="eastAsia" w:ascii="黑体" w:hAnsi="黑体" w:eastAsia="黑体"/>
                <w:sz w:val="30"/>
                <w:szCs w:val="30"/>
              </w:rPr>
              <w:t>分解</w:t>
            </w:r>
          </w:p>
          <w:p>
            <w:pPr>
              <w:spacing w:line="0" w:lineRule="atLeast"/>
              <w:jc w:val="center"/>
              <w:rPr>
                <w:rFonts w:ascii="黑体" w:hAnsi="黑体" w:eastAsia="黑体"/>
                <w:sz w:val="30"/>
                <w:szCs w:val="30"/>
              </w:rPr>
            </w:pPr>
            <w:r>
              <w:rPr>
                <w:rFonts w:hint="eastAsia" w:ascii="黑体" w:hAnsi="黑体" w:eastAsia="黑体"/>
                <w:sz w:val="30"/>
                <w:szCs w:val="30"/>
              </w:rPr>
              <w:t>目标</w:t>
            </w:r>
          </w:p>
        </w:tc>
        <w:tc>
          <w:tcPr>
            <w:tcW w:w="540" w:type="dxa"/>
            <w:noWrap w:val="0"/>
            <w:vAlign w:val="top"/>
          </w:tcPr>
          <w:p>
            <w:pPr>
              <w:spacing w:line="0" w:lineRule="atLeast"/>
              <w:jc w:val="center"/>
              <w:rPr>
                <w:rFonts w:ascii="黑体" w:hAnsi="黑体" w:eastAsia="黑体"/>
                <w:sz w:val="30"/>
                <w:szCs w:val="30"/>
              </w:rPr>
            </w:pPr>
            <w:r>
              <w:rPr>
                <w:rFonts w:hint="eastAsia" w:ascii="黑体" w:hAnsi="黑体" w:eastAsia="黑体"/>
                <w:sz w:val="30"/>
                <w:szCs w:val="30"/>
              </w:rPr>
              <w:t>序号</w:t>
            </w:r>
          </w:p>
        </w:tc>
        <w:tc>
          <w:tcPr>
            <w:tcW w:w="2335" w:type="dxa"/>
            <w:noWrap w:val="0"/>
            <w:vAlign w:val="center"/>
          </w:tcPr>
          <w:p>
            <w:pPr>
              <w:spacing w:line="0" w:lineRule="atLeast"/>
              <w:jc w:val="center"/>
              <w:rPr>
                <w:rFonts w:ascii="黑体" w:hAnsi="黑体" w:eastAsia="黑体"/>
                <w:sz w:val="30"/>
                <w:szCs w:val="30"/>
              </w:rPr>
            </w:pPr>
            <w:r>
              <w:rPr>
                <w:rFonts w:hint="eastAsia" w:ascii="黑体" w:hAnsi="黑体" w:eastAsia="黑体"/>
                <w:sz w:val="30"/>
                <w:szCs w:val="30"/>
              </w:rPr>
              <w:t>指标名称</w:t>
            </w:r>
          </w:p>
        </w:tc>
        <w:tc>
          <w:tcPr>
            <w:tcW w:w="4495" w:type="dxa"/>
            <w:noWrap w:val="0"/>
            <w:vAlign w:val="center"/>
          </w:tcPr>
          <w:p>
            <w:pPr>
              <w:spacing w:line="0" w:lineRule="atLeast"/>
              <w:jc w:val="center"/>
              <w:rPr>
                <w:rFonts w:ascii="黑体" w:hAnsi="黑体" w:eastAsia="黑体"/>
                <w:sz w:val="30"/>
                <w:szCs w:val="30"/>
              </w:rPr>
            </w:pPr>
            <w:r>
              <w:rPr>
                <w:rFonts w:hint="eastAsia" w:ascii="黑体" w:hAnsi="黑体" w:eastAsia="黑体"/>
                <w:sz w:val="30"/>
                <w:szCs w:val="30"/>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43" w:type="dxa"/>
            <w:vMerge w:val="restart"/>
            <w:noWrap w:val="0"/>
            <w:vAlign w:val="center"/>
          </w:tcPr>
          <w:p>
            <w:pPr>
              <w:spacing w:line="0" w:lineRule="atLeast"/>
              <w:jc w:val="left"/>
              <w:rPr>
                <w:rFonts w:ascii="黑体" w:hAnsi="黑体" w:eastAsia="黑体"/>
                <w:b/>
                <w:bCs/>
                <w:sz w:val="28"/>
                <w:szCs w:val="28"/>
              </w:rPr>
            </w:pPr>
            <w:r>
              <w:rPr>
                <w:rFonts w:hint="eastAsia" w:ascii="黑体" w:hAnsi="黑体" w:eastAsia="黑体"/>
                <w:b/>
                <w:bCs/>
                <w:sz w:val="28"/>
                <w:szCs w:val="28"/>
              </w:rPr>
              <w:t>一、农房建设</w:t>
            </w:r>
          </w:p>
        </w:tc>
        <w:tc>
          <w:tcPr>
            <w:tcW w:w="960" w:type="dxa"/>
            <w:vMerge w:val="restart"/>
            <w:noWrap w:val="0"/>
            <w:vAlign w:val="center"/>
          </w:tcPr>
          <w:p>
            <w:pPr>
              <w:spacing w:line="0" w:lineRule="atLeast"/>
              <w:jc w:val="center"/>
              <w:rPr>
                <w:rFonts w:hint="eastAsia" w:ascii="楷体" w:hAnsi="楷体" w:eastAsia="楷体"/>
                <w:b/>
                <w:bCs/>
                <w:sz w:val="28"/>
                <w:szCs w:val="28"/>
              </w:rPr>
            </w:pPr>
            <w:r>
              <w:rPr>
                <w:rFonts w:hint="eastAsia" w:ascii="楷体" w:hAnsi="楷体" w:eastAsia="楷体"/>
                <w:b/>
                <w:bCs/>
                <w:sz w:val="28"/>
                <w:szCs w:val="28"/>
              </w:rPr>
              <w:t>（一）质量</w:t>
            </w:r>
          </w:p>
          <w:p>
            <w:pPr>
              <w:spacing w:line="0" w:lineRule="atLeast"/>
              <w:jc w:val="center"/>
              <w:rPr>
                <w:rFonts w:ascii="楷体" w:hAnsi="楷体" w:eastAsia="楷体"/>
                <w:b/>
                <w:bCs/>
                <w:sz w:val="28"/>
                <w:szCs w:val="28"/>
              </w:rPr>
            </w:pPr>
            <w:r>
              <w:rPr>
                <w:rFonts w:hint="eastAsia" w:ascii="楷体" w:hAnsi="楷体" w:eastAsia="楷体"/>
                <w:b/>
                <w:bCs/>
                <w:sz w:val="28"/>
                <w:szCs w:val="28"/>
              </w:rPr>
              <w:t>安全</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排查出的C级和D级农村危房采取工程措施完成整治的占比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采取工程措施完成整治的C级和D级农村危房数量占县域鉴定为C级和D级农村危房总数量的比例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达到抗震设防标准的农房占比（%）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达到当地抗震设防标准的农房数量占县域农房总数量的比例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3</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农村低收入群体危房改造率（%）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上一年度开展危房改造的农村低收入群体户数</w:t>
            </w:r>
            <w:bookmarkStart w:id="0" w:name="_GoBack"/>
            <w:bookmarkEnd w:id="0"/>
            <w:r>
              <w:rPr>
                <w:rFonts w:hint="eastAsia" w:ascii="仿宋_GB2312" w:eastAsia="仿宋_GB2312"/>
                <w:sz w:val="28"/>
                <w:szCs w:val="28"/>
              </w:rPr>
              <w:t>占动态监测发现所住房屋属于危房的农村低收入群体总户数的比例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采用现浇施工方式的新建农房占比（%）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上一年度采用现浇施工方式的新建农房数量占县域新建农房总数量的比例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43" w:type="dxa"/>
            <w:vMerge w:val="continue"/>
            <w:noWrap w:val="0"/>
            <w:vAlign w:val="top"/>
          </w:tcPr>
          <w:p>
            <w:pPr>
              <w:rPr>
                <w:rFonts w:ascii="黑体" w:hAnsi="黑体" w:eastAsia="黑体"/>
                <w:b/>
                <w:bCs/>
                <w:sz w:val="28"/>
                <w:szCs w:val="28"/>
              </w:rPr>
            </w:pPr>
          </w:p>
        </w:tc>
        <w:tc>
          <w:tcPr>
            <w:tcW w:w="960" w:type="dxa"/>
            <w:vMerge w:val="restart"/>
            <w:noWrap w:val="0"/>
            <w:vAlign w:val="center"/>
          </w:tcPr>
          <w:p>
            <w:pPr>
              <w:spacing w:line="0" w:lineRule="atLeast"/>
              <w:jc w:val="center"/>
              <w:rPr>
                <w:rFonts w:hint="eastAsia" w:ascii="楷体" w:hAnsi="楷体" w:eastAsia="楷体"/>
                <w:b/>
                <w:bCs/>
                <w:sz w:val="28"/>
                <w:szCs w:val="28"/>
              </w:rPr>
            </w:pPr>
            <w:r>
              <w:rPr>
                <w:rFonts w:hint="eastAsia" w:ascii="楷体" w:hAnsi="楷体" w:eastAsia="楷体"/>
                <w:b/>
                <w:bCs/>
                <w:sz w:val="28"/>
                <w:szCs w:val="28"/>
              </w:rPr>
              <w:t>（二）功能</w:t>
            </w:r>
          </w:p>
          <w:p>
            <w:pPr>
              <w:spacing w:line="0" w:lineRule="atLeast"/>
              <w:jc w:val="center"/>
              <w:rPr>
                <w:rFonts w:ascii="楷体" w:hAnsi="楷体" w:eastAsia="楷体"/>
                <w:b/>
                <w:bCs/>
                <w:sz w:val="28"/>
                <w:szCs w:val="28"/>
              </w:rPr>
            </w:pPr>
            <w:r>
              <w:rPr>
                <w:rFonts w:hint="eastAsia" w:ascii="楷体" w:hAnsi="楷体" w:eastAsia="楷体"/>
                <w:b/>
                <w:bCs/>
                <w:sz w:val="28"/>
                <w:szCs w:val="28"/>
              </w:rPr>
              <w:t>品质</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5</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有卫生厕所的农房占比（%）；其中，有水冲式卫生厕所的农房占比（%）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有卫生厕所的农房占农村住宅房屋的比例。其中，有水冲式卫生厕所的农房占农村住宅房屋的比例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6</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有独立厨房的农房占比（%）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有独立厨房的农房占农村住宅房屋的比例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7</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日常可热水淋浴的农房占比（%）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可实现日常热水淋浴的农房占农村住宅房屋的比例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8</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采取建筑节能措施的农房占比（%）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调查的围护结构中采取建筑节能措施的农房数量占调查的农房总数量的比例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9</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采用清洁能源的农房占比（%）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调查的采用太阳能、风能、水能、地热能、生物质能等清洁能源的农房数量占调查的农房总数量的比例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restart"/>
            <w:noWrap w:val="0"/>
            <w:vAlign w:val="center"/>
          </w:tcPr>
          <w:p>
            <w:pPr>
              <w:spacing w:line="0" w:lineRule="atLeast"/>
              <w:jc w:val="center"/>
              <w:rPr>
                <w:rFonts w:hint="eastAsia" w:ascii="楷体" w:hAnsi="楷体" w:eastAsia="楷体"/>
                <w:b/>
                <w:bCs/>
                <w:sz w:val="28"/>
                <w:szCs w:val="28"/>
              </w:rPr>
            </w:pPr>
            <w:r>
              <w:rPr>
                <w:rFonts w:hint="eastAsia" w:ascii="楷体" w:hAnsi="楷体" w:eastAsia="楷体"/>
                <w:b/>
                <w:bCs/>
                <w:sz w:val="28"/>
                <w:szCs w:val="28"/>
              </w:rPr>
              <w:t>（三）建设</w:t>
            </w:r>
          </w:p>
          <w:p>
            <w:pPr>
              <w:spacing w:line="0" w:lineRule="atLeast"/>
              <w:jc w:val="center"/>
              <w:rPr>
                <w:rFonts w:ascii="楷体" w:hAnsi="楷体" w:eastAsia="楷体"/>
                <w:b/>
                <w:bCs/>
                <w:sz w:val="28"/>
                <w:szCs w:val="28"/>
              </w:rPr>
            </w:pPr>
            <w:r>
              <w:rPr>
                <w:rFonts w:hint="eastAsia" w:ascii="楷体" w:hAnsi="楷体" w:eastAsia="楷体"/>
                <w:b/>
                <w:bCs/>
                <w:sz w:val="28"/>
                <w:szCs w:val="28"/>
              </w:rPr>
              <w:t>管理</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10</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新建农房有设计方案或采用标准图集的占比（%）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上一年度新建农房有设计方案或采用标准图集的栋数占县域新建农房总栋数的比例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11</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履行宅基地手续和规划建设审批手续的新建农房占比（%）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上一年度履行了宅基地手续和规划建设手续的新建农房数量占县域新建农房总数量的比例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12</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有工程质量竣工验收的新建农房占比（%）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上一年度开展了工程质量竣工验收的新建农房数量占县域新建农房总数量的比例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13</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培训合格的乡村建设工匠占比（%）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经过统一培训取得合格证书的乡村建设工匠数量占县域在册乡村建设工匠总数量的比例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14</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乡镇农房建设管理人员数（人/千人）</w:t>
            </w:r>
          </w:p>
        </w:tc>
        <w:tc>
          <w:tcPr>
            <w:tcW w:w="4495" w:type="dxa"/>
            <w:noWrap w:val="0"/>
            <w:vAlign w:val="center"/>
          </w:tcPr>
          <w:p>
            <w:pPr>
              <w:spacing w:line="0" w:lineRule="atLeast"/>
              <w:rPr>
                <w:rFonts w:hint="eastAsia" w:ascii="仿宋_GB2312" w:eastAsia="仿宋_GB2312"/>
                <w:sz w:val="28"/>
                <w:szCs w:val="28"/>
              </w:rPr>
            </w:pPr>
            <w:r>
              <w:rPr>
                <w:rFonts w:hint="eastAsia" w:ascii="仿宋_GB2312" w:eastAsia="仿宋_GB2312"/>
                <w:sz w:val="28"/>
                <w:szCs w:val="28"/>
              </w:rPr>
              <w:t>县域乡镇农房建设管理人员总数量与县域乡镇（不包含城关镇）常住人口数的比值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43" w:type="dxa"/>
            <w:vMerge w:val="restart"/>
            <w:noWrap w:val="0"/>
            <w:vAlign w:val="center"/>
          </w:tcPr>
          <w:p>
            <w:pPr>
              <w:adjustRightInd w:val="0"/>
              <w:snapToGrid w:val="0"/>
              <w:jc w:val="left"/>
              <w:rPr>
                <w:rFonts w:ascii="黑体" w:hAnsi="黑体" w:eastAsia="黑体"/>
                <w:b/>
                <w:bCs/>
                <w:sz w:val="28"/>
                <w:szCs w:val="28"/>
              </w:rPr>
            </w:pPr>
            <w:r>
              <w:rPr>
                <w:rFonts w:hint="eastAsia" w:ascii="黑体" w:hAnsi="黑体" w:eastAsia="黑体"/>
                <w:b/>
                <w:bCs/>
                <w:sz w:val="28"/>
                <w:szCs w:val="28"/>
              </w:rPr>
              <w:t>二、村庄建设</w:t>
            </w:r>
          </w:p>
        </w:tc>
        <w:tc>
          <w:tcPr>
            <w:tcW w:w="960" w:type="dxa"/>
            <w:vMerge w:val="restart"/>
            <w:noWrap w:val="0"/>
            <w:vAlign w:val="center"/>
          </w:tcPr>
          <w:p>
            <w:pPr>
              <w:spacing w:line="0" w:lineRule="atLeast"/>
              <w:jc w:val="center"/>
              <w:rPr>
                <w:rFonts w:hint="eastAsia" w:ascii="楷体" w:hAnsi="楷体" w:eastAsia="楷体"/>
                <w:b/>
                <w:bCs/>
                <w:sz w:val="28"/>
                <w:szCs w:val="28"/>
              </w:rPr>
            </w:pPr>
            <w:r>
              <w:rPr>
                <w:rFonts w:hint="eastAsia" w:ascii="楷体" w:hAnsi="楷体" w:eastAsia="楷体"/>
                <w:b/>
                <w:bCs/>
                <w:sz w:val="28"/>
                <w:szCs w:val="28"/>
              </w:rPr>
              <w:t>（四）人居</w:t>
            </w:r>
          </w:p>
          <w:p>
            <w:pPr>
              <w:spacing w:line="0" w:lineRule="atLeast"/>
              <w:jc w:val="center"/>
              <w:rPr>
                <w:rFonts w:ascii="楷体" w:hAnsi="楷体" w:eastAsia="楷体"/>
                <w:b/>
                <w:bCs/>
                <w:sz w:val="28"/>
                <w:szCs w:val="28"/>
              </w:rPr>
            </w:pPr>
            <w:r>
              <w:rPr>
                <w:rFonts w:hint="eastAsia" w:ascii="楷体" w:hAnsi="楷体" w:eastAsia="楷体"/>
                <w:b/>
                <w:bCs/>
                <w:sz w:val="28"/>
                <w:szCs w:val="28"/>
              </w:rPr>
              <w:t>环境</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15</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村庄风貌协调度、整洁度</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村庄整体风貌、建筑风貌的保护塑造情况、村庄整洁卫生情况。利用村景照片通过公众打分、人工智能评价等方式获得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16</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农村生活垃圾收运至县、镇处理的村民小组占比（%）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县域农村生活垃圾收运至县城或乡镇处理的村民小组数量占村民小组总数量的比例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17</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实施垃圾分类的村民小组占比（%）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县域实施垃圾分类的村民小组数量占村民小组总数量的比例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18</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对污水进行处理的农户占比（%）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县域对污水进行处理的农户数量占农户总数量的比例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19</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公厕有专人管护的行政村占比（%）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调查的公厕有专人管护的行政村数量占调查的有公厕的行政村数量的比例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20</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农村黑臭水体治理率（%）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累计完成治理的农村黑臭水体数量占县域农村黑臭水体总数量的比例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restart"/>
            <w:noWrap w:val="0"/>
            <w:vAlign w:val="center"/>
          </w:tcPr>
          <w:p>
            <w:pPr>
              <w:spacing w:line="0" w:lineRule="atLeast"/>
              <w:jc w:val="center"/>
              <w:rPr>
                <w:rFonts w:hint="eastAsia" w:ascii="楷体" w:hAnsi="楷体" w:eastAsia="楷体"/>
                <w:b/>
                <w:bCs/>
                <w:sz w:val="28"/>
                <w:szCs w:val="28"/>
              </w:rPr>
            </w:pPr>
            <w:r>
              <w:rPr>
                <w:rFonts w:hint="eastAsia" w:ascii="楷体" w:hAnsi="楷体" w:eastAsia="楷体"/>
                <w:b/>
                <w:bCs/>
                <w:sz w:val="28"/>
                <w:szCs w:val="28"/>
              </w:rPr>
              <w:t>（五）基础</w:t>
            </w:r>
          </w:p>
          <w:p>
            <w:pPr>
              <w:spacing w:line="0" w:lineRule="atLeast"/>
              <w:jc w:val="center"/>
              <w:rPr>
                <w:rFonts w:ascii="楷体" w:hAnsi="楷体" w:eastAsia="楷体"/>
                <w:b/>
                <w:bCs/>
                <w:sz w:val="28"/>
                <w:szCs w:val="28"/>
              </w:rPr>
            </w:pPr>
            <w:r>
              <w:rPr>
                <w:rFonts w:hint="eastAsia" w:ascii="楷体" w:hAnsi="楷体" w:eastAsia="楷体"/>
                <w:b/>
                <w:bCs/>
                <w:sz w:val="28"/>
                <w:szCs w:val="28"/>
              </w:rPr>
              <w:t>设施</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21</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农村集中供水入房率（%）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有集中供水并接入房屋内的农房占农村住宅房屋的比例。供水接入房屋内指水龙头安装在厨房、卫生间等并通水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22</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农村饮用水水质合格率（%）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上一年度县域农村饮用水水质检测中水质合格份数占县域农村饮用水水质检测总份数的比例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23</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村内通户道路硬化占比（%）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调查的家门口道路硬化的农户数占调查农户总数的比例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24</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使用燃气的农户占比（%）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调查的使用燃气的农户占调查农户总数的比例。燃气包括管道燃气和瓶（罐）装液化气等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25</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村庄主要道路照明设施覆盖率（%）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调查的村内主要道路全部装有照明路灯的行政村数量占被调查的行政村总数量的比例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26</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行政村5G通达率（%）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县域覆盖5G移动信号的行政村数量占行政村总数量的比例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27</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村级寄递物流服务站覆盖率（%）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县域有寄递物流服务站的行政村数量占行政村总数量的比例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restart"/>
            <w:noWrap w:val="0"/>
            <w:vAlign w:val="center"/>
          </w:tcPr>
          <w:p>
            <w:pPr>
              <w:spacing w:line="0" w:lineRule="atLeast"/>
              <w:jc w:val="center"/>
              <w:rPr>
                <w:rFonts w:hint="eastAsia" w:ascii="楷体" w:hAnsi="楷体" w:eastAsia="楷体"/>
                <w:b/>
                <w:bCs/>
                <w:sz w:val="28"/>
                <w:szCs w:val="28"/>
              </w:rPr>
            </w:pPr>
            <w:r>
              <w:rPr>
                <w:rFonts w:hint="eastAsia" w:ascii="楷体" w:hAnsi="楷体" w:eastAsia="楷体"/>
                <w:b/>
                <w:bCs/>
                <w:sz w:val="28"/>
                <w:szCs w:val="28"/>
              </w:rPr>
              <w:t>（六）公共</w:t>
            </w:r>
          </w:p>
          <w:p>
            <w:pPr>
              <w:spacing w:line="0" w:lineRule="atLeast"/>
              <w:jc w:val="center"/>
              <w:rPr>
                <w:rFonts w:ascii="楷体" w:hAnsi="楷体" w:eastAsia="楷体"/>
                <w:b/>
                <w:bCs/>
                <w:sz w:val="28"/>
                <w:szCs w:val="28"/>
              </w:rPr>
            </w:pPr>
            <w:r>
              <w:rPr>
                <w:rFonts w:hint="eastAsia" w:ascii="楷体" w:hAnsi="楷体" w:eastAsia="楷体"/>
                <w:b/>
                <w:bCs/>
                <w:sz w:val="28"/>
                <w:szCs w:val="28"/>
              </w:rPr>
              <w:t>服务</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28</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十五分钟内可到达幼儿园的行政村占比（%）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调查的十五分钟生活圈内有普惠性幼儿园的行政村数量占调查的行政村总数量的比例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29</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十五分钟内可到达小学的行政村占比（%）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调查的十五分钟生活圈内有小学的行政村数量占调查的行政村总数量的比例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30</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行政村标准化卫生室覆盖率（%）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县域拥有标准化卫生室的行政村数量占行政村总数量的比例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31</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村级养老服务设施覆盖率（%）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县域有村级养老服务设施的行政村数量占行政村总数量的比例。村级养老服务设施包括幸福院、日间照料中心等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restart"/>
            <w:noWrap w:val="0"/>
            <w:vAlign w:val="center"/>
          </w:tcPr>
          <w:p>
            <w:pPr>
              <w:spacing w:line="0" w:lineRule="atLeast"/>
              <w:jc w:val="center"/>
              <w:rPr>
                <w:rFonts w:hint="eastAsia" w:ascii="楷体" w:hAnsi="楷体" w:eastAsia="楷体"/>
                <w:b/>
                <w:bCs/>
                <w:sz w:val="28"/>
                <w:szCs w:val="28"/>
              </w:rPr>
            </w:pPr>
            <w:r>
              <w:rPr>
                <w:rFonts w:hint="eastAsia" w:ascii="楷体" w:hAnsi="楷体" w:eastAsia="楷体"/>
                <w:b/>
                <w:bCs/>
                <w:sz w:val="28"/>
                <w:szCs w:val="28"/>
              </w:rPr>
              <w:t>（七）治理</w:t>
            </w:r>
          </w:p>
          <w:p>
            <w:pPr>
              <w:spacing w:line="0" w:lineRule="atLeast"/>
              <w:jc w:val="center"/>
              <w:rPr>
                <w:rFonts w:ascii="楷体" w:hAnsi="楷体" w:eastAsia="楷体"/>
                <w:b/>
                <w:bCs/>
                <w:sz w:val="28"/>
                <w:szCs w:val="28"/>
              </w:rPr>
            </w:pPr>
            <w:r>
              <w:rPr>
                <w:rFonts w:hint="eastAsia" w:ascii="楷体" w:hAnsi="楷体" w:eastAsia="楷体"/>
                <w:b/>
                <w:bCs/>
                <w:sz w:val="28"/>
                <w:szCs w:val="28"/>
              </w:rPr>
              <w:t>水平</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32</w:t>
            </w:r>
          </w:p>
        </w:tc>
        <w:tc>
          <w:tcPr>
            <w:tcW w:w="2335" w:type="dxa"/>
            <w:noWrap w:val="0"/>
            <w:vAlign w:val="center"/>
          </w:tcPr>
          <w:p>
            <w:pPr>
              <w:spacing w:line="0" w:lineRule="atLeast"/>
              <w:rPr>
                <w:rFonts w:hint="eastAsia" w:ascii="仿宋_GB2312" w:eastAsia="仿宋_GB2312"/>
                <w:sz w:val="28"/>
                <w:szCs w:val="28"/>
              </w:rPr>
            </w:pPr>
            <w:r>
              <w:rPr>
                <w:rFonts w:hint="eastAsia" w:ascii="仿宋_GB2312" w:eastAsia="仿宋_GB2312"/>
                <w:sz w:val="28"/>
                <w:szCs w:val="28"/>
              </w:rPr>
              <w:t>参与乡村建设活动的村民占比（%）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调查的参与乡村建设活动的村民数量占调查的村民总数量的比例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33</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县级及以上文明村占比(%)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县域获评县级及以上文明村的行政村数量占行政村总数量的比例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ign w:val="center"/>
          </w:tcPr>
          <w:p>
            <w:pPr>
              <w:spacing w:line="0" w:lineRule="atLeast"/>
              <w:jc w:val="center"/>
              <w:rPr>
                <w:rFonts w:ascii="仿宋_GB2312" w:eastAsia="仿宋_GB2312"/>
                <w:sz w:val="28"/>
                <w:szCs w:val="28"/>
              </w:rPr>
            </w:pPr>
            <w:r>
              <w:rPr>
                <w:rFonts w:hint="eastAsia" w:ascii="仿宋_GB2312" w:eastAsia="仿宋_GB2312"/>
                <w:sz w:val="28"/>
                <w:szCs w:val="28"/>
              </w:rPr>
              <w:t>34</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村民缴纳污水或垃圾治理费用的行政村占比（%）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调查的村民缴纳污水处理费或垃圾处理费的行政村数量占调查的行政村总数量的比例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3" w:type="dxa"/>
            <w:vMerge w:val="restart"/>
            <w:noWrap w:val="0"/>
            <w:vAlign w:val="center"/>
          </w:tcPr>
          <w:p>
            <w:pPr>
              <w:spacing w:line="0" w:lineRule="atLeast"/>
              <w:jc w:val="left"/>
              <w:rPr>
                <w:rFonts w:ascii="黑体" w:hAnsi="黑体" w:eastAsia="黑体"/>
                <w:b/>
                <w:bCs/>
                <w:sz w:val="28"/>
                <w:szCs w:val="28"/>
              </w:rPr>
            </w:pPr>
            <w:r>
              <w:rPr>
                <w:rFonts w:hint="eastAsia" w:ascii="黑体" w:hAnsi="黑体" w:eastAsia="黑体"/>
                <w:b/>
                <w:bCs/>
                <w:sz w:val="28"/>
                <w:szCs w:val="28"/>
              </w:rPr>
              <w:t>三、县镇建设</w:t>
            </w:r>
          </w:p>
        </w:tc>
        <w:tc>
          <w:tcPr>
            <w:tcW w:w="960" w:type="dxa"/>
            <w:vMerge w:val="restart"/>
            <w:noWrap w:val="0"/>
            <w:vAlign w:val="center"/>
          </w:tcPr>
          <w:p>
            <w:pPr>
              <w:spacing w:line="0" w:lineRule="atLeast"/>
              <w:jc w:val="center"/>
              <w:rPr>
                <w:rFonts w:ascii="楷体" w:hAnsi="楷体" w:eastAsia="楷体"/>
                <w:b/>
                <w:bCs/>
                <w:sz w:val="28"/>
                <w:szCs w:val="28"/>
              </w:rPr>
            </w:pPr>
            <w:r>
              <w:rPr>
                <w:rFonts w:hint="eastAsia" w:ascii="楷体" w:hAnsi="楷体" w:eastAsia="楷体"/>
                <w:b/>
                <w:bCs/>
                <w:sz w:val="28"/>
                <w:szCs w:val="28"/>
              </w:rPr>
              <w:t>（八）乡镇基础设施</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35</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乡镇供水普及率（%）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县域乡镇供水普及人口数占乡镇常住人口数的比例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36</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对生活污水进行处理的乡镇占比（%）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县域对生活污水进行处理的乡镇数量占乡镇总数量的比例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37</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乡镇生活垃圾处理率（%）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县域乡镇全年生活垃圾处理量占乡镇全年生活垃圾清运量的比例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38</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镇容镇貌整洁度</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衡量乡镇人居环境是否整洁有序、建筑风貌是否协调，是否存在乱停乱放、私搭乱建、“空中蜘蛛网”、占道经营等现象，以及绿化美化等情况。结合专家打分和公众打分进行评价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39</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乡镇燃气普及率（%）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县域乡镇使用燃气的人口占乡镇常住人口数的比例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40</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乡镇道路照明设施覆盖率（%）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县域乡镇装有路灯的道路长度占乡镇道路总长度的比例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41</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有消防队的乡镇占比（%）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县域设有消防队的乡镇数量占乡镇总数量的比例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restart"/>
            <w:noWrap w:val="0"/>
            <w:vAlign w:val="center"/>
          </w:tcPr>
          <w:p>
            <w:pPr>
              <w:spacing w:line="0" w:lineRule="atLeast"/>
              <w:jc w:val="center"/>
              <w:rPr>
                <w:rFonts w:hint="eastAsia" w:ascii="楷体" w:hAnsi="楷体" w:eastAsia="楷体"/>
                <w:b/>
                <w:bCs/>
                <w:sz w:val="28"/>
                <w:szCs w:val="28"/>
              </w:rPr>
            </w:pPr>
          </w:p>
          <w:p>
            <w:pPr>
              <w:spacing w:line="0" w:lineRule="atLeast"/>
              <w:jc w:val="center"/>
              <w:rPr>
                <w:rFonts w:hint="eastAsia" w:ascii="楷体" w:hAnsi="楷体" w:eastAsia="楷体"/>
                <w:b/>
                <w:bCs/>
                <w:sz w:val="28"/>
                <w:szCs w:val="28"/>
              </w:rPr>
            </w:pPr>
          </w:p>
          <w:p>
            <w:pPr>
              <w:spacing w:line="0" w:lineRule="atLeast"/>
              <w:jc w:val="center"/>
              <w:rPr>
                <w:rFonts w:hint="eastAsia" w:ascii="楷体" w:hAnsi="楷体" w:eastAsia="楷体"/>
                <w:b/>
                <w:bCs/>
                <w:sz w:val="28"/>
                <w:szCs w:val="28"/>
              </w:rPr>
            </w:pPr>
          </w:p>
          <w:p>
            <w:pPr>
              <w:spacing w:line="0" w:lineRule="atLeast"/>
              <w:jc w:val="center"/>
              <w:rPr>
                <w:rFonts w:ascii="楷体" w:hAnsi="楷体" w:eastAsia="楷体"/>
                <w:b/>
                <w:bCs/>
                <w:sz w:val="28"/>
                <w:szCs w:val="28"/>
              </w:rPr>
            </w:pPr>
          </w:p>
          <w:p>
            <w:pPr>
              <w:pStyle w:val="2"/>
              <w:rPr>
                <w:rFonts w:hint="eastAsia"/>
              </w:rPr>
            </w:pPr>
          </w:p>
          <w:p>
            <w:pPr>
              <w:spacing w:line="0" w:lineRule="atLeast"/>
              <w:jc w:val="center"/>
              <w:rPr>
                <w:rFonts w:ascii="楷体" w:hAnsi="楷体" w:eastAsia="楷体"/>
                <w:b/>
                <w:bCs/>
                <w:sz w:val="28"/>
                <w:szCs w:val="28"/>
              </w:rPr>
            </w:pPr>
            <w:r>
              <w:rPr>
                <w:rFonts w:hint="eastAsia" w:ascii="楷体" w:hAnsi="楷体" w:eastAsia="楷体"/>
                <w:b/>
                <w:bCs/>
                <w:sz w:val="28"/>
                <w:szCs w:val="28"/>
              </w:rPr>
              <w:t>（九）</w:t>
            </w:r>
            <w:r>
              <w:rPr>
                <w:rFonts w:hint="eastAsia" w:ascii="楷体" w:hAnsi="楷体" w:eastAsia="楷体"/>
                <w:b/>
                <w:bCs/>
                <w:sz w:val="28"/>
                <w:szCs w:val="28"/>
              </w:rPr>
              <w:br w:type="textWrapping"/>
            </w:r>
            <w:r>
              <w:rPr>
                <w:rFonts w:hint="eastAsia" w:ascii="楷体" w:hAnsi="楷体" w:eastAsia="楷体"/>
                <w:b/>
                <w:bCs/>
                <w:sz w:val="28"/>
                <w:szCs w:val="28"/>
              </w:rPr>
              <w:t>乡镇公共服务</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42</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乡镇寄宿制学校达到建设标准的占比（%）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县域达到建设标准的乡镇寄宿制学校数量占乡镇寄宿制学校总数量的比例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43</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有急救服务功能的乡镇卫生院占比（%）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县域有急救服务功能的乡镇卫生院数量占乡镇卫生院总数量的比例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44</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具备综合功能的养老服务机构的乡镇占比（%）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 xml:space="preserve">县域具备综合功能的养老服务机构的乡镇数量占乡镇总数量的比例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45</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乡镇商贸中心覆盖率（%）</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县域镇区拥有商贸中心的乡镇数量占乡镇总数量的比例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restart"/>
            <w:noWrap w:val="0"/>
            <w:vAlign w:val="center"/>
          </w:tcPr>
          <w:p>
            <w:pPr>
              <w:spacing w:line="0" w:lineRule="atLeast"/>
              <w:jc w:val="center"/>
              <w:rPr>
                <w:rFonts w:hint="eastAsia" w:ascii="楷体" w:hAnsi="楷体" w:eastAsia="楷体"/>
                <w:b/>
                <w:bCs/>
                <w:sz w:val="28"/>
                <w:szCs w:val="28"/>
              </w:rPr>
            </w:pPr>
            <w:r>
              <w:rPr>
                <w:rFonts w:hint="eastAsia" w:ascii="楷体" w:hAnsi="楷体" w:eastAsia="楷体"/>
                <w:b/>
                <w:bCs/>
                <w:sz w:val="28"/>
                <w:szCs w:val="28"/>
              </w:rPr>
              <w:t>（十）县城</w:t>
            </w:r>
          </w:p>
          <w:p>
            <w:pPr>
              <w:spacing w:line="0" w:lineRule="atLeast"/>
              <w:jc w:val="center"/>
              <w:rPr>
                <w:rFonts w:ascii="楷体" w:hAnsi="楷体" w:eastAsia="楷体"/>
                <w:b/>
                <w:bCs/>
                <w:sz w:val="28"/>
                <w:szCs w:val="28"/>
              </w:rPr>
            </w:pPr>
            <w:r>
              <w:rPr>
                <w:rFonts w:hint="eastAsia" w:ascii="楷体" w:hAnsi="楷体" w:eastAsia="楷体"/>
                <w:b/>
                <w:bCs/>
                <w:sz w:val="28"/>
                <w:szCs w:val="28"/>
              </w:rPr>
              <w:t>服务</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46</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在县城就业的农村人口占比（%）</w:t>
            </w:r>
          </w:p>
        </w:tc>
        <w:tc>
          <w:tcPr>
            <w:tcW w:w="4495" w:type="dxa"/>
            <w:noWrap w:val="0"/>
            <w:vAlign w:val="center"/>
          </w:tcPr>
          <w:p>
            <w:pPr>
              <w:spacing w:line="0" w:lineRule="atLeast"/>
              <w:rPr>
                <w:rFonts w:hint="eastAsia" w:ascii="仿宋_GB2312" w:eastAsia="仿宋_GB2312"/>
                <w:sz w:val="28"/>
                <w:szCs w:val="28"/>
              </w:rPr>
            </w:pPr>
            <w:r>
              <w:rPr>
                <w:rFonts w:hint="eastAsia" w:ascii="仿宋_GB2312" w:eastAsia="仿宋_GB2312"/>
                <w:sz w:val="28"/>
                <w:szCs w:val="28"/>
              </w:rPr>
              <w:t>调查的在县城就业的农村劳动力人数占调查的农村劳动力总人数的比例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47</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县城购房者中农村居民占比（%）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上一年度购买者为农村居民的县城商品房销售数量占县城商品房销售总数量的比例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48</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纳入县域城乡教育共同体的学校占比（%）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纳入县域城乡教育共同体的学校数量占县域学校总数量的比例（包括县城、乡镇和村庄的小学、初中和高中）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49</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县域义务教育阶段农村学生在县城学校就读的占比（%）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调查的在县城就读的农村义务教育阶段学生数量占调查的农村义务教育阶段学生总数量的比例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50</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开展远程医疗的医院和乡镇卫生院占比（%）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县域内与县域外医院开展远程医疗医院和乡镇卫生院数量占县域医院和乡镇卫生院总数量的比例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51</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县域千人医疗卫生机构床位数（张/千人）</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县域医疗卫生机构床位数与县域常住人口数的比值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52</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县域养老机构护理型床位占比（%）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县域养老机构护理型床位数量占养老机构床位总数量的比例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rFonts w:ascii="黑体" w:hAnsi="黑体" w:eastAsia="黑体"/>
                <w:b/>
                <w:bCs/>
                <w:sz w:val="28"/>
                <w:szCs w:val="28"/>
              </w:rPr>
            </w:pPr>
          </w:p>
        </w:tc>
        <w:tc>
          <w:tcPr>
            <w:tcW w:w="960" w:type="dxa"/>
            <w:vMerge w:val="continue"/>
            <w:noWrap w:val="0"/>
            <w:vAlign w:val="center"/>
          </w:tcPr>
          <w:p>
            <w:pPr>
              <w:spacing w:line="0" w:lineRule="atLeast"/>
              <w:jc w:val="center"/>
              <w:rPr>
                <w:rFonts w:ascii="楷体" w:hAnsi="楷体" w:eastAsia="楷体"/>
                <w:b/>
                <w:bCs/>
                <w:sz w:val="28"/>
                <w:szCs w:val="28"/>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53</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县城公交线路覆盖的行政村占比（%）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县城公交和公交化运营的农村客运线路覆盖的行政村数量占县域行政村总数量的比例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3" w:type="dxa"/>
            <w:vMerge w:val="restart"/>
            <w:noWrap w:val="0"/>
            <w:vAlign w:val="center"/>
          </w:tcPr>
          <w:p>
            <w:pPr>
              <w:spacing w:line="0" w:lineRule="atLeast"/>
              <w:jc w:val="left"/>
              <w:rPr>
                <w:rFonts w:ascii="黑体" w:hAnsi="黑体" w:eastAsia="黑体"/>
                <w:b/>
                <w:bCs/>
                <w:sz w:val="28"/>
                <w:szCs w:val="28"/>
              </w:rPr>
            </w:pPr>
            <w:r>
              <w:rPr>
                <w:rFonts w:hint="eastAsia" w:ascii="黑体" w:hAnsi="黑体" w:eastAsia="黑体"/>
                <w:b/>
                <w:bCs/>
                <w:sz w:val="28"/>
                <w:szCs w:val="28"/>
              </w:rPr>
              <w:t>四、发展水平</w:t>
            </w:r>
          </w:p>
        </w:tc>
        <w:tc>
          <w:tcPr>
            <w:tcW w:w="960" w:type="dxa"/>
            <w:vMerge w:val="restart"/>
            <w:noWrap w:val="0"/>
            <w:vAlign w:val="center"/>
          </w:tcPr>
          <w:p>
            <w:pPr>
              <w:spacing w:line="0" w:lineRule="atLeast"/>
              <w:jc w:val="center"/>
              <w:rPr>
                <w:rFonts w:hint="eastAsia" w:ascii="楷体" w:hAnsi="楷体" w:eastAsia="楷体"/>
                <w:b/>
                <w:bCs/>
                <w:sz w:val="28"/>
                <w:szCs w:val="28"/>
              </w:rPr>
            </w:pPr>
            <w:r>
              <w:rPr>
                <w:rFonts w:hint="eastAsia" w:ascii="楷体" w:hAnsi="楷体" w:eastAsia="楷体"/>
                <w:b/>
                <w:bCs/>
                <w:sz w:val="24"/>
              </w:rPr>
              <w:t>（十一）</w:t>
            </w:r>
            <w:r>
              <w:rPr>
                <w:rFonts w:hint="eastAsia" w:ascii="楷体" w:hAnsi="楷体" w:eastAsia="楷体"/>
                <w:b/>
                <w:bCs/>
                <w:sz w:val="28"/>
                <w:szCs w:val="28"/>
              </w:rPr>
              <w:t>发展</w:t>
            </w:r>
          </w:p>
          <w:p>
            <w:pPr>
              <w:spacing w:line="0" w:lineRule="atLeast"/>
              <w:jc w:val="center"/>
              <w:rPr>
                <w:rFonts w:ascii="楷体" w:hAnsi="楷体" w:eastAsia="楷体"/>
                <w:b/>
                <w:bCs/>
                <w:sz w:val="28"/>
                <w:szCs w:val="28"/>
              </w:rPr>
            </w:pPr>
            <w:r>
              <w:rPr>
                <w:rFonts w:hint="eastAsia" w:ascii="楷体" w:hAnsi="楷体" w:eastAsia="楷体"/>
                <w:b/>
                <w:bCs/>
                <w:sz w:val="28"/>
                <w:szCs w:val="28"/>
              </w:rPr>
              <w:t>水平</w:t>
            </w: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54</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县域农村居民人均可支配收入增长率（%）</w:t>
            </w:r>
          </w:p>
        </w:tc>
        <w:tc>
          <w:tcPr>
            <w:tcW w:w="4495" w:type="dxa"/>
            <w:noWrap w:val="0"/>
            <w:vAlign w:val="center"/>
          </w:tcPr>
          <w:p>
            <w:pPr>
              <w:spacing w:line="0" w:lineRule="atLeast"/>
              <w:rPr>
                <w:rFonts w:hint="eastAsia" w:ascii="仿宋_GB2312" w:eastAsia="仿宋_GB2312"/>
                <w:sz w:val="28"/>
                <w:szCs w:val="28"/>
              </w:rPr>
            </w:pPr>
            <w:r>
              <w:rPr>
                <w:rFonts w:hint="eastAsia" w:ascii="仿宋_GB2312" w:eastAsia="仿宋_GB2312"/>
                <w:sz w:val="28"/>
                <w:szCs w:val="28"/>
              </w:rPr>
              <w:t>本年度县域农村居民人均可支配收入增长值与上一年度农村居民人居可支配收入绝对值的比值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3" w:type="dxa"/>
            <w:vMerge w:val="continue"/>
            <w:noWrap w:val="0"/>
            <w:vAlign w:val="top"/>
          </w:tcPr>
          <w:p>
            <w:pPr>
              <w:rPr>
                <w:b/>
                <w:bCs/>
              </w:rPr>
            </w:pPr>
          </w:p>
        </w:tc>
        <w:tc>
          <w:tcPr>
            <w:tcW w:w="960" w:type="dxa"/>
            <w:vMerge w:val="continue"/>
            <w:noWrap w:val="0"/>
            <w:vAlign w:val="top"/>
          </w:tcPr>
          <w:p>
            <w:pPr>
              <w:rPr>
                <w:b/>
                <w:bCs/>
              </w:rPr>
            </w:pPr>
          </w:p>
        </w:tc>
        <w:tc>
          <w:tcPr>
            <w:tcW w:w="540" w:type="dxa"/>
            <w:noWrap w:val="0"/>
            <w:vAlign w:val="center"/>
          </w:tcPr>
          <w:p>
            <w:pPr>
              <w:spacing w:line="0" w:lineRule="atLeast"/>
              <w:jc w:val="center"/>
              <w:rPr>
                <w:rFonts w:ascii="仿宋_GB2312" w:eastAsia="仿宋_GB2312"/>
                <w:sz w:val="28"/>
                <w:szCs w:val="28"/>
              </w:rPr>
            </w:pPr>
            <w:r>
              <w:rPr>
                <w:rFonts w:hint="eastAsia" w:ascii="仿宋_GB2312" w:eastAsia="仿宋_GB2312"/>
                <w:sz w:val="28"/>
                <w:szCs w:val="28"/>
              </w:rPr>
              <w:t>55</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城乡居民人均可支配收入比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县所在地级市城镇居民人均可支配收入与县农村居民人均可支配收入的比值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3" w:type="dxa"/>
            <w:vMerge w:val="continue"/>
            <w:noWrap w:val="0"/>
            <w:vAlign w:val="top"/>
          </w:tcPr>
          <w:p>
            <w:pPr>
              <w:rPr>
                <w:b/>
                <w:bCs/>
              </w:rPr>
            </w:pPr>
          </w:p>
        </w:tc>
        <w:tc>
          <w:tcPr>
            <w:tcW w:w="960" w:type="dxa"/>
            <w:vMerge w:val="continue"/>
            <w:noWrap w:val="0"/>
            <w:vAlign w:val="top"/>
          </w:tcPr>
          <w:p>
            <w:pPr>
              <w:rPr>
                <w:b/>
                <w:bCs/>
              </w:rPr>
            </w:pPr>
          </w:p>
        </w:tc>
        <w:tc>
          <w:tcPr>
            <w:tcW w:w="540" w:type="dxa"/>
            <w:noWrap w:val="0"/>
            <w:vAlign w:val="center"/>
          </w:tcPr>
          <w:p>
            <w:pPr>
              <w:spacing w:line="0" w:lineRule="atLeast"/>
              <w:jc w:val="center"/>
              <w:rPr>
                <w:rFonts w:hint="eastAsia" w:ascii="仿宋_GB2312" w:eastAsia="仿宋_GB2312"/>
                <w:sz w:val="28"/>
                <w:szCs w:val="28"/>
              </w:rPr>
            </w:pPr>
            <w:r>
              <w:rPr>
                <w:rFonts w:hint="eastAsia" w:ascii="仿宋_GB2312" w:eastAsia="仿宋_GB2312"/>
                <w:sz w:val="28"/>
                <w:szCs w:val="28"/>
              </w:rPr>
              <w:t>56</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县域常住人口与户籍人口比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县域常住人口数与县域户籍人口数的比值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3" w:type="dxa"/>
            <w:vMerge w:val="continue"/>
            <w:noWrap w:val="0"/>
            <w:vAlign w:val="top"/>
          </w:tcPr>
          <w:p>
            <w:pPr>
              <w:rPr>
                <w:b/>
                <w:bCs/>
              </w:rPr>
            </w:pPr>
          </w:p>
        </w:tc>
        <w:tc>
          <w:tcPr>
            <w:tcW w:w="960" w:type="dxa"/>
            <w:vMerge w:val="continue"/>
            <w:noWrap w:val="0"/>
            <w:vAlign w:val="top"/>
          </w:tcPr>
          <w:p>
            <w:pPr>
              <w:rPr>
                <w:b/>
                <w:bCs/>
              </w:rPr>
            </w:pPr>
          </w:p>
        </w:tc>
        <w:tc>
          <w:tcPr>
            <w:tcW w:w="540" w:type="dxa"/>
            <w:noWrap w:val="0"/>
            <w:vAlign w:val="center"/>
          </w:tcPr>
          <w:p>
            <w:pPr>
              <w:spacing w:line="0" w:lineRule="atLeast"/>
              <w:jc w:val="center"/>
              <w:rPr>
                <w:rFonts w:hint="eastAsia" w:ascii="仿宋_GB2312" w:eastAsia="仿宋_GB2312"/>
                <w:sz w:val="28"/>
                <w:szCs w:val="28"/>
              </w:rPr>
            </w:pPr>
            <w:r>
              <w:rPr>
                <w:rFonts w:hint="eastAsia" w:ascii="仿宋_GB2312" w:eastAsia="仿宋_GB2312"/>
                <w:sz w:val="28"/>
                <w:szCs w:val="28"/>
              </w:rPr>
              <w:t>57</w:t>
            </w:r>
          </w:p>
        </w:tc>
        <w:tc>
          <w:tcPr>
            <w:tcW w:w="233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县域返乡人口占比（%）</w:t>
            </w:r>
          </w:p>
        </w:tc>
        <w:tc>
          <w:tcPr>
            <w:tcW w:w="4495" w:type="dxa"/>
            <w:noWrap w:val="0"/>
            <w:vAlign w:val="center"/>
          </w:tcPr>
          <w:p>
            <w:pPr>
              <w:spacing w:line="0" w:lineRule="atLeast"/>
              <w:rPr>
                <w:rFonts w:ascii="仿宋_GB2312" w:eastAsia="仿宋_GB2312"/>
                <w:sz w:val="28"/>
                <w:szCs w:val="28"/>
              </w:rPr>
            </w:pPr>
            <w:r>
              <w:rPr>
                <w:rFonts w:hint="eastAsia" w:ascii="仿宋_GB2312" w:eastAsia="仿宋_GB2312"/>
                <w:sz w:val="28"/>
                <w:szCs w:val="28"/>
              </w:rPr>
              <w:t>上一年度返乡人口数占上一年度外出务工人口数的比例。通过手机信令数据分析获得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B2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firstLine="40"/>
    </w:pPr>
    <w:rPr>
      <w:rFonts w:ascii="仿宋_GB2312" w:hAnsi="仿宋_GB2312" w:eastAsia="仿宋" w:cs="仿宋_GB2312"/>
      <w:sz w:val="32"/>
      <w:szCs w:val="32"/>
    </w:rPr>
  </w:style>
  <w:style w:type="paragraph" w:styleId="3">
    <w:name w:val="Body Text Indent"/>
    <w:basedOn w:val="1"/>
    <w:next w:val="1"/>
    <w:qFormat/>
    <w:uiPriority w:val="0"/>
    <w:pPr>
      <w:spacing w:after="120"/>
      <w:ind w:left="42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2023-06-26T08:12:51Z</dcterms:created>
  <dc:creator>Administrator</dc:creator>
  <cp:lastModifiedBy>Administrator</cp:lastModifiedBy>
  <dcterms:modified xsi:type="dcterms:W3CDTF">2023-06-26T08:13:59Z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