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b/>
          <w:color w:val="auto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pacing w:val="2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pacing w:val="2"/>
          <w:kern w:val="0"/>
          <w:sz w:val="36"/>
          <w:szCs w:val="36"/>
        </w:rPr>
        <w:t>保留一般村建设</w:t>
      </w:r>
      <w:r>
        <w:rPr>
          <w:rFonts w:hint="eastAsia" w:ascii="方正小标宋简体" w:eastAsia="方正小标宋简体"/>
          <w:color w:val="auto"/>
          <w:spacing w:val="2"/>
          <w:kern w:val="0"/>
          <w:sz w:val="36"/>
          <w:szCs w:val="36"/>
          <w:lang w:val="en-US" w:eastAsia="zh-CN"/>
        </w:rPr>
        <w:t>整治基本要求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u w:val="none" w:color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鼓励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 w:color="auto"/>
          <w:lang w:eastAsia="zh-CN"/>
        </w:rPr>
        <w:t>空心化率低于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40%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的整治改善类等保留一般村，参照高质量美丽宜居村庄标准积极实施建设整治，需达到以下基本要求。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u w:val="none" w:color="auto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u w:val="none" w:color="auto"/>
        </w:rPr>
        <w:t>1、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u w:val="none" w:color="auto"/>
          <w:lang w:eastAsia="zh-CN"/>
        </w:rPr>
        <w:t>环境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u w:val="none" w:color="auto"/>
        </w:rPr>
        <w:t>美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</w:rPr>
        <w:t>1.1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auto"/>
          <w:lang w:eastAsia="zh-CN"/>
        </w:rPr>
        <w:t>维护村庄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eastAsia="zh-CN"/>
        </w:rPr>
        <w:t>自然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山水格局，加强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生态环境保护。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▲</w:t>
      </w:r>
      <w:r>
        <w:rPr>
          <w:rFonts w:ascii="仿宋_GB2312" w:eastAsia="仿宋_GB2312" w:cs="仿宋_GB2312"/>
          <w:color w:val="191919"/>
          <w:sz w:val="31"/>
          <w:szCs w:val="31"/>
        </w:rPr>
        <w:t>无非法</w:t>
      </w:r>
      <w:r>
        <w:rPr>
          <w:rFonts w:hint="eastAsia" w:ascii="仿宋_GB2312" w:eastAsia="仿宋_GB2312" w:cs="仿宋_GB2312"/>
          <w:color w:val="191919"/>
          <w:sz w:val="31"/>
          <w:szCs w:val="31"/>
          <w:lang w:eastAsia="zh-CN"/>
        </w:rPr>
        <w:t>占用耕地、</w:t>
      </w:r>
      <w:r>
        <w:rPr>
          <w:rFonts w:hint="default" w:ascii="仿宋_GB2312" w:eastAsia="仿宋_GB2312" w:cs="仿宋_GB2312"/>
          <w:color w:val="191919"/>
          <w:sz w:val="31"/>
          <w:szCs w:val="31"/>
        </w:rPr>
        <w:t>永久基本农田、生态保护红线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违规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挖山、填湖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、采砂、采石、取水、取土、滥砍滥伐林木、破坏野生动植物资源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侵占水源地等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破坏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生态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环境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行为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auto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</w:rPr>
        <w:t>坚持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eastAsia="zh-CN"/>
        </w:rPr>
        <w:t>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</w:rPr>
        <w:t>绿化果园化、绿地菜地化，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eastAsia="zh-CN"/>
        </w:rPr>
        <w:t>统筹营造生态经济林、农田防护林、道路景观林、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</w:rPr>
        <w:t>环村林带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eastAsia="zh-CN"/>
        </w:rPr>
        <w:t>，村庄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布局建设小游园、小果园、小菜园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  <w:t>古树名木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  <w:t>有效保护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  <w:t>并设标志牌。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auto"/>
        </w:rPr>
        <w:t>村庄绿化覆盖率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  <w:t>≥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auto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</w:rPr>
        <w:t>。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auto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auto"/>
          <w:lang w:val="en-US" w:eastAsia="zh-CN"/>
        </w:rPr>
        <w:t>3推进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  <w:t>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  <w:lang w:eastAsia="zh-CN"/>
        </w:rPr>
        <w:t>村面源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  <w:t>污染防治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农业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生产废弃物资源化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综合利用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农膜回收率≥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  <w:t>农作物秸秆综合利用率≥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  <w:t>畜禽粪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  <w:lang w:val="en-US" w:eastAsia="zh-CN"/>
        </w:rPr>
        <w:t>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  <w:t>综合利用率≥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  <w:t>0%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  <w:t>病死畜禽无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害化处理率达100%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水产养殖废水达标排放。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</w:rPr>
        <w:t>1.4.推进生活垃圾分类治理，生活垃圾无害化处理率≥95%，资源化利用率≥20%，村庄保持干净整洁。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生活污水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治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 w:bidi="ar"/>
        </w:rPr>
        <w:t>理，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bidi="ar"/>
        </w:rPr>
        <w:t>生活污水处理农户覆盖率≥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 w:bidi="ar"/>
        </w:rPr>
        <w:t>7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bidi="ar"/>
        </w:rPr>
        <w:t>0%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eastAsia="zh-CN" w:bidi="ar"/>
        </w:rPr>
        <w:t>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bidi="ar"/>
        </w:rPr>
        <w:t>常住人口 600 人以上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eastAsia="zh-CN" w:bidi="ar"/>
        </w:rPr>
        <w:t>村庄至少建设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eastAsia="zh-CN" w:bidi="ar"/>
        </w:rPr>
        <w:t>所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bidi="ar"/>
        </w:rPr>
        <w:t>公共厕所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bidi="ar-SA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-SA"/>
        </w:rPr>
        <w:t>推动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-SA"/>
        </w:rPr>
        <w:t>房屋建筑与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bidi="ar-SA"/>
        </w:rPr>
        <w:t>太阳能光热光伏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-SA"/>
        </w:rPr>
        <w:t>一体化设计应用，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-SA"/>
        </w:rPr>
        <w:t>科学使用并逐步减少草木、秸秆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-SA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-SA"/>
        </w:rPr>
        <w:t>煤炭等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-SA"/>
        </w:rPr>
        <w:t>传统燃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-SA"/>
        </w:rPr>
        <w:t>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-SA"/>
        </w:rPr>
        <w:t>的直接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-SA"/>
        </w:rPr>
        <w:t>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-SA"/>
        </w:rPr>
        <w:t>用，使用清洁能源的农户数≥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-SA"/>
        </w:rPr>
        <w:t>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-SA"/>
        </w:rPr>
        <w:t>▲村域内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-SA"/>
        </w:rPr>
        <w:t>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-SA"/>
        </w:rPr>
        <w:t>露天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-SA"/>
        </w:rPr>
        <w:t>堆放大面积粪污、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-SA"/>
        </w:rPr>
        <w:t>垃圾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-SA"/>
        </w:rPr>
        <w:t>及</w:t>
      </w:r>
      <w:r>
        <w:rPr>
          <w:rFonts w:eastAsia="仿宋_GB2312"/>
          <w:color w:val="auto"/>
          <w:sz w:val="30"/>
          <w:szCs w:val="30"/>
        </w:rPr>
        <w:t>焚烧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-SA"/>
        </w:rPr>
        <w:t>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-SA"/>
        </w:rPr>
        <w:t>现象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-SA"/>
        </w:rPr>
        <w:t>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-SA"/>
        </w:rPr>
        <w:t>水体清洁、无异味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-SA"/>
        </w:rPr>
        <w:t>无黑臭水体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2</w:t>
      </w: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、田园美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1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开展国土</w:t>
      </w:r>
      <w:r>
        <w:rPr>
          <w:rFonts w:hint="default" w:ascii="仿宋_GB2312" w:eastAsia="仿宋_GB2312" w:cs="仿宋_GB2312"/>
          <w:color w:val="000000"/>
          <w:sz w:val="31"/>
          <w:szCs w:val="31"/>
        </w:rPr>
        <w:t>综合整治和农用地、建设用地整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理</w:t>
      </w:r>
      <w:r>
        <w:rPr>
          <w:rFonts w:hint="eastAsia" w:eastAsia="仿宋_GB2312"/>
          <w:color w:val="auto"/>
          <w:sz w:val="32"/>
          <w:szCs w:val="32"/>
          <w:u w:val="none" w:color="auto"/>
          <w:lang w:eastAsia="zh-CN"/>
        </w:rPr>
        <w:t>，积极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推进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高标准农田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农田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水利基本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建设，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实施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水体岸线生态化整治，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农田灌溉水利用系数达到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0.6以上。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▲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无撂荒耕地及耕地‘非农化’‘非粮化’等现象。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统筹安排农作物种植，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规范管理田间生产设施，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保持灌溉排水系统和田间道路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等设施完好畅通、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杆线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和管线有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铺设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农业生产设施功能配套衔接、风貌协调统一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营造特色鲜明、色彩缤纷的大地田园景观。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▲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无乱占耕地建房行为。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坚持因村施策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、一村一品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积极培育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农林牧渔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高质细分的农业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主导优势产业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新型农业经营主体，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发展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农产品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加工、文化旅游等产业，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推动一二三产业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和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产村融合发展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多点支撑增加农民收入。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组织开展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农技推广、动植物疫病防控、农资供应、农业信息化、农业机械化、农产品流通、农业金融、保险服务等农业社会化服务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▲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无大面积病虫害。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color w:val="auto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-SA"/>
        </w:rPr>
        <w:t>3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u w:val="none" w:color="auto"/>
          <w:shd w:val="clear" w:color="auto" w:fill="FFFFFF"/>
        </w:rPr>
        <w:t>、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村庄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u w:val="none" w:color="auto"/>
          <w:shd w:val="clear" w:color="auto" w:fill="FFFFFF"/>
        </w:rPr>
        <w:t>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.1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村庄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建设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符合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国土空间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规划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，依法统筹配置使用土地，并充分利用闲置土地、空置房屋等资源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地质灾害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影响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 xml:space="preserve"> 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2实施标准化供水设施建设和水质提标工程，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常态化开展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水质监测，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排水沟渠（管网）通畅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饮用水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供水保证率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%，水质达标率≥90%。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升级改造村庄道路，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有条件的实施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村主干道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单车道改双车道，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常住人口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" w:eastAsia="zh-CN"/>
        </w:rPr>
        <w:t>户以上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村组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道路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、入户道路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硬化率达100%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路面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平整，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进出通畅，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规范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设置路灯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交通标志，村口设村名标识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路灯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亮灯率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≥90%。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4实施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电网巩固提升改造，通动力电，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供电可靠性和电压稳定性得到全面提升。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eastAsia="zh-CN"/>
        </w:rPr>
        <w:t>完善光纤、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宽带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、5G等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通信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设施，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实现千兆光纤、5G网络80%覆盖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广泛开展村庄产业发展、公共服务、基层治理等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“互联网+”行动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打造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数字村庄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6在多规合一实用性村庄规划基础上，实施村庄架空线路整治和杆路合并，开展输电线路、广播电视线路、通信光缆等协同整理或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入地敷设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，杜绝前整后乱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无各类线路乱拉乱搭现象。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7 城镇周边、燃气供热管网过境等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有条件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村庄实施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燃气下乡、集中供热。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完善防汛、抗旱、消防、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疫情防控、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应急避难场所等防灾减灾设施，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建设“乡村大喇叭”应急广播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eastAsia="zh-CN"/>
        </w:rPr>
        <w:t>及时提供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气象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eastAsia="zh-CN"/>
        </w:rPr>
        <w:t>、地质灾害等预警信息服务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，全面提升防灾减灾救灾效能。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无外洪进村、重大火灾等事故发生。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因村施策</w:t>
      </w:r>
      <w:r>
        <w:rPr>
          <w:rFonts w:hint="eastAsia" w:eastAsia="仿宋_GB2312"/>
          <w:color w:val="auto"/>
          <w:sz w:val="32"/>
          <w:szCs w:val="32"/>
          <w:lang w:eastAsia="zh-CN"/>
        </w:rPr>
        <w:t>改善教育、卫生、科技、文化、体育、养老、托幼等设施条件，按需配建改造村标准化卫生室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、</w:t>
      </w:r>
      <w:r>
        <w:rPr>
          <w:rFonts w:hint="eastAsia" w:eastAsia="仿宋_GB2312"/>
          <w:color w:val="auto"/>
          <w:sz w:val="32"/>
          <w:szCs w:val="32"/>
          <w:lang w:eastAsia="zh-CN"/>
        </w:rPr>
        <w:t>综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合文体广场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养老院、老年饭桌、留守儿童关照、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残疾人服务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等设施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推进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村新时代文明实践站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等各类服务设施综合利用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 xml:space="preserve">实施困难残疾人家庭住房和公共场所无障碍、适老化改造。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</w:pP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无义务教育辍学失学学生。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庭院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严格执行“一户一宅”政策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eastAsia="zh-CN"/>
        </w:rPr>
        <w:t>川区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</w:rPr>
        <w:t>新建农宅宅基地面积应控制在4分地以内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eastAsia="zh-CN"/>
        </w:rPr>
        <w:t>，山区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</w:rPr>
        <w:t>控制在6分地以内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eastAsia="zh-CN"/>
        </w:rPr>
        <w:t>，有条件的可在院内外推行家庭小菜园、小果园等生产用地统筹配置，打造田园村庄、田园农舍。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2合理设置改造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庭院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布局，适度硬化庭院，统筹安排居住、储物、停车、庭院经济等设施功能空间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eastAsia="zh-CN"/>
        </w:rPr>
        <w:t>开展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房前屋后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绿化美化净化，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鼓励山区村庄院落配置雨水收集利用设施。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引导村民强化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卫生健康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意识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推进家畜出户入园、家禽圈舍养殖，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eastAsia="zh-CN"/>
        </w:rPr>
        <w:t>实施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无害化卫生户厕改造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，卫生厕所普及率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100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%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院落无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残破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倒塌棚舍、墙体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，无乱堆乱放等现象。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eastAsia="zh-CN"/>
        </w:rPr>
        <w:t>严格执行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</w:rPr>
        <w:t>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eastAsia="zh-CN"/>
        </w:rPr>
        <w:t>房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</w:rPr>
        <w:t>建设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eastAsia="zh-CN"/>
        </w:rPr>
        <w:t>标准规范，新建农房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 w:color="auto"/>
          <w:lang w:val="en-US" w:eastAsia="zh-CN" w:bidi="ar"/>
        </w:rPr>
        <w:t>落实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 w:color="auto"/>
          <w:lang w:eastAsia="zh-CN" w:bidi="ar"/>
        </w:rPr>
        <w:t>“上下圈梁、构造柱、三七墙、门窗间墙不低于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 w:color="auto"/>
          <w:lang w:val="en-US" w:eastAsia="zh-CN" w:bidi="ar"/>
        </w:rPr>
        <w:t>90厘米”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 w:color="auto"/>
          <w:lang w:eastAsia="zh-CN" w:bidi="ar"/>
        </w:rPr>
        <w:t>等8度抗震设防强制性标准，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eastAsia="zh-CN"/>
        </w:rPr>
        <w:t>推行寝室、客厅、厨房、卫生间独立设置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eastAsia="zh-CN" w:bidi="ar"/>
        </w:rPr>
        <w:t>传承“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 w:bidi="ar"/>
        </w:rPr>
        <w:t>红墙、红瓦、挑檐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eastAsia="zh-CN" w:bidi="ar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 w:bidi="ar"/>
        </w:rPr>
        <w:t>等地方特色农房风貌，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建设“结构安全、风貌乡土、功能适用、成本经济、节能环保”的新型宜居农房。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val="en-US" w:eastAsia="zh-CN" w:bidi="ar-SA"/>
        </w:rPr>
        <w:t>常态化开展农房安全动态监测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val="en-US" w:eastAsia="zh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开展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房龄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超过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25年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农房定期体检度，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持续推动危房即增即改、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 w:color="auto"/>
          <w:lang w:val="en-US" w:eastAsia="zh"/>
        </w:rPr>
        <w:t>动态清零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和抗震宜居农房愿改尽改、能改快改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，加强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历史建筑、传统民居认定和保护修缮。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</w:pPr>
      <w:r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bidi="ar-SA"/>
        </w:rPr>
        <w:t>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 w:bidi="ar-SA"/>
        </w:rPr>
        <w:t>C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 w:bidi="ar-SA"/>
        </w:rPr>
        <w:t>D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bidi="ar-SA"/>
        </w:rPr>
        <w:t>级危房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6鼓励实施既有农房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eastAsia="zh-CN" w:bidi="ar"/>
        </w:rPr>
        <w:t>墙体保温、屋面隔热、节能门窗、被动式暖房等节能降耗改造，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 w:bidi="ar"/>
        </w:rPr>
        <w:t>打造低碳零碳绿色农房。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u w:val="none" w:color="auto"/>
          <w:shd w:val="clear" w:color="auto" w:fill="FFFFFF"/>
        </w:rPr>
        <w:t>、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生活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u w:val="none" w:color="auto"/>
          <w:shd w:val="clear" w:color="auto" w:fill="FFFFFF"/>
        </w:rPr>
        <w:t>美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5.1组织村民参加农民职业素质和技能等学习培训，提供就业政策咨询、职业指导和职业介绍等服务，为就业困难人员、零就业家庭和残疾人提供就业援助。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5.2深化集体产权制度改革，吸引社会资本和工商资本投入村庄建设经营，连农带农增加农民收入，发展壮大村级集体经济。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</w:pPr>
      <w:r>
        <w:rPr>
          <w:rStyle w:val="10"/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▲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村级无不良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债务。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.3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建设线上线下“一站式服务”的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便民服务中心，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按需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配建“一点多能”的村级客货邮商综合服务点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电商营销平台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停车场（位），户均车位数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力争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达到 1 个以上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4村民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基本医疗保险户籍人口参保率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基本养老保险待遇发放率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均达到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各类低收入群体和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老年人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优抚对象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社会保障政策得到全面落实。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发挥新时代文明实践站阵地作用，深入开展习近平新时代中国特色社会主义思想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、社会主义核心价值观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爱国主义、精神文明、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传统文化、法律知识、科学技术等主题宣传教育。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6广泛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开展文明家庭等精神文明创建活动，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制定并实施村规民约，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发挥红白理事会、老年人协会、村民议事会、道德评议会、禁赌禁毒会等基层组织作用，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倡导文明乡风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摒弃不良风气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深入挖掘民间艺术、民俗活动等非物质文化遗产，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加大文物古迹、农业文化遗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产、灌溉工程遗产等调查和保护利用，传承发扬优秀传统文化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加强村级党组织建设，坚持党的农村基层组织领导地位不动摇，党组织政治功能进一步凸显，组织力明显增强，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  <w:t>党员先锋模范作用充分发挥。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吸收返乡大学生、退役军人、致富能手等进入村“两委”班子或共同参与村级治理，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  <w:t>村民委员会、村务监督委员会、村集体经济组织和共青团、妇联、民兵等组织健全并规范运行。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  <w:lang w:val="en-US" w:eastAsia="zh-CN"/>
        </w:rPr>
        <w:t>5.10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建立“积分制”、“红黑榜”等激励机制，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  <w:t>坚持村级重大事务民主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  <w:lang w:eastAsia="zh-CN"/>
        </w:rPr>
        <w:t>决策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  <w:lang w:eastAsia="zh-CN"/>
        </w:rPr>
        <w:t>依法依规开展各项村务活动，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实现自治、法治、德治有机结合。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  <w:lang w:val="en-US" w:eastAsia="zh-CN"/>
        </w:rPr>
        <w:t>5.11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eastAsia="zh-CN"/>
        </w:rPr>
        <w:t>开展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</w:rPr>
        <w:t>民族团结进步创建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完善矛盾纠纷多元化解机制，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eastAsia="zh-CN"/>
        </w:rPr>
        <w:t>民族和睦、宗教和顺。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  <w:lang w:val="en-US" w:eastAsia="zh-CN"/>
        </w:rPr>
        <w:t>5.12加强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eastAsia="zh-CN"/>
        </w:rPr>
        <w:t>平安建设，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  <w:t>健全治安管理制度，配齐村级综治管理人员，安装社会治安视频监控系统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eastAsia="zh-CN"/>
        </w:rPr>
        <w:t>常态化开展扫黑除恶斗争。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  <w:lang w:val="en-US" w:eastAsia="zh-CN"/>
        </w:rPr>
        <w:t>5.13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建立公共基础设施长效管护机制，采取建设农村综合服务中心、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</w:rPr>
        <w:t>委托第三方机构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  <w:t>配备相应管护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  <w:lang w:eastAsia="zh-CN"/>
        </w:rPr>
        <w:t>机构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  <w:t>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  <w:lang w:eastAsia="zh-CN"/>
        </w:rPr>
        <w:t>等方式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  <w:lang w:eastAsia="zh-CN"/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公共基础设施的有效运营维护管理。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  <w:lang w:val="en-US" w:eastAsia="zh-CN"/>
        </w:rPr>
        <w:t>5.14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完善行政村-网格员-村民村级网格化管理制度，实施“互联网+基层治理”行动，全面提升村级管理服务效能。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firstLine="643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备注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标注▲的为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反向约束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指标，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保留一般村建设整治要杜绝出现反向约束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情形。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0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120"/>
      <w:ind w:left="200" w:leftChars="200" w:firstLine="420"/>
    </w:pPr>
    <w:rPr>
      <w:rFonts w:ascii="Times New Roman" w:cs="Times New Roman"/>
    </w:rPr>
  </w:style>
  <w:style w:type="paragraph" w:styleId="3">
    <w:name w:val="Body Text Indent"/>
    <w:basedOn w:val="1"/>
    <w:next w:val="4"/>
    <w:qFormat/>
    <w:uiPriority w:val="0"/>
    <w:pPr>
      <w:suppressAutoHyphens/>
      <w:bidi w:val="0"/>
      <w:ind w:firstLine="643" w:firstLineChars="200"/>
    </w:pPr>
    <w:rPr>
      <w:rFonts w:ascii="黑体" w:hAnsi="仿宋" w:eastAsia="黑体" w:cs="Times New Roman"/>
      <w:b/>
      <w:color w:val="auto"/>
      <w:sz w:val="21"/>
      <w:szCs w:val="32"/>
    </w:rPr>
  </w:style>
  <w:style w:type="paragraph" w:styleId="4">
    <w:name w:val="footnote text"/>
    <w:qFormat/>
    <w:uiPriority w:val="0"/>
    <w:pPr>
      <w:widowControl w:val="0"/>
    </w:pPr>
    <w:rPr>
      <w:rFonts w:ascii="Times New Roman" w:hAnsi="Times New Roman" w:eastAsia="PMingLiU" w:cs="Arial"/>
      <w:color w:val="000000"/>
      <w:kern w:val="2"/>
      <w:sz w:val="18"/>
      <w:szCs w:val="24"/>
      <w:lang w:val="en-US" w:eastAsia="zh-CN" w:bidi="ar-SA"/>
    </w:rPr>
  </w:style>
  <w:style w:type="paragraph" w:styleId="5">
    <w:name w:val="Body Text First Indent"/>
    <w:basedOn w:val="6"/>
    <w:next w:val="2"/>
    <w:qFormat/>
    <w:uiPriority w:val="0"/>
    <w:pPr>
      <w:ind w:firstLine="420" w:firstLineChars="100"/>
    </w:pPr>
  </w:style>
  <w:style w:type="paragraph" w:styleId="6">
    <w:name w:val="Body Text"/>
    <w:basedOn w:val="1"/>
    <w:next w:val="5"/>
    <w:qFormat/>
    <w:uiPriority w:val="0"/>
    <w:pPr>
      <w:spacing w:before="0" w:after="140" w:line="276" w:lineRule="auto"/>
    </w:p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10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2023-07-10T06:35:30Z</dcterms:created>
  <dc:creator>Administrator</dc:creator>
  <cp:lastModifiedBy>Administrator</cp:lastModifiedBy>
  <dcterms:modified xsi:type="dcterms:W3CDTF">2023-07-10T06:35:59Z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